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ind w:left="3894"/>
        <w:jc w:val="righ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PATVIRTINTA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                                                                    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Prezidento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Jono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Žemaičio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gimnazijos</w:t>
      </w:r>
      <w:proofErr w:type="spellEnd"/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 </w:t>
      </w:r>
      <w:proofErr w:type="spellStart"/>
      <w:proofErr w:type="gramStart"/>
      <w:r>
        <w:rPr>
          <w:rFonts w:ascii="Arial" w:hAnsi="Arial" w:cs="Arial"/>
          <w:color w:val="303030"/>
          <w:sz w:val="18"/>
          <w:szCs w:val="18"/>
        </w:rPr>
        <w:t>direktoriaus</w:t>
      </w:r>
      <w:proofErr w:type="spellEnd"/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2014 m.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gegužės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7 d.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ind w:left="3894"/>
        <w:jc w:val="right"/>
        <w:textAlignment w:val="baseline"/>
        <w:rPr>
          <w:rFonts w:ascii="Arial" w:hAnsi="Arial" w:cs="Arial"/>
          <w:color w:val="30303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color w:val="303030"/>
          <w:sz w:val="18"/>
          <w:szCs w:val="18"/>
        </w:rPr>
        <w:t>įsakymu</w:t>
      </w:r>
      <w:proofErr w:type="spellEnd"/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Nr. V1-77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 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PREZIDENTO JONO ŽEMAIČIO GIMNAZIJOS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303030"/>
          <w:sz w:val="18"/>
          <w:szCs w:val="18"/>
        </w:rPr>
      </w:pPr>
      <w:bookmarkStart w:id="0" w:name="_GoBack"/>
      <w:proofErr w:type="spellStart"/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Neformaliojo</w:t>
      </w:r>
      <w:proofErr w:type="spellEnd"/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švietimo</w:t>
      </w:r>
      <w:proofErr w:type="spellEnd"/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organizavimo</w:t>
      </w:r>
      <w:proofErr w:type="spellEnd"/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tvarka</w:t>
      </w:r>
      <w:proofErr w:type="spellEnd"/>
    </w:p>
    <w:bookmarkEnd w:id="0"/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I. BENDROSIOS NUOSTATOS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Neformalusis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vaikų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įgyvendinamas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pagal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vaikų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koncepciją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patvirtintą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Lietuvos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Respublikos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mokslo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ministro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2012 m.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kovo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29 d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įsakymu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Nr. V-554,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šią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gimnazijos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organizavimo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tvarką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2.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vaikų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veikla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yra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skirta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kultūrinę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meninę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sporto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sveikos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gyvensenos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tautinio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tapatumo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karjerai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kitą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veiklą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pasirinkusių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gimnazistų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asmeninėms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socialinėms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pilietinėms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edukacinėms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profesinėms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kompetencijoms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II. NEFORMALIOJO ŠVIETIMO TIKSLAI IR UŽDAVINIAI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3.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vaikų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tikslas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yra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per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kompetencijų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formuoti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asmenį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sugebantį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tapti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aktyviu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visuomenės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nariu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sėkmingai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veikti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visuomenėje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padėti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tenkinti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pažinimo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lavinimosi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saviraiškos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poreikius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4.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vaikų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uždaviniai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: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4.1.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plėtoti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vaikų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kompetencijas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per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saviraiškos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poreikio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tenkinimą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4.2.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pilietiškumą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tautiškumą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demokratišką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požiūrį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į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pasaulėžiūrų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įsitikinimų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gyvenimo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būdų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įvairovę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4.3.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Lavinti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gebėjimą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kritiškai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mąstyti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rinktis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orientuotis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dinamiškoje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visuomenėje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4.4.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Spręsti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socialinės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integracijos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problemas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mažiau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galimybių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turinčių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esančių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iš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kultūriškai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geografiškai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socialiai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ekonomiškai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nepalankios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aplinkos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turinčių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specialiųjų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poreikių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ypatingų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poreikių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itin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gabių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talentingų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vaikų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iškritusių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iš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sistemos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integravimas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į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visuomeninį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gyvenimą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socialinių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problemų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sprendimas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4.5.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Padėti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spręsti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integravimosi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į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darbo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rinką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problema</w:t>
      </w:r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s</w:t>
      </w:r>
      <w:proofErr w:type="spellEnd"/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III. NEFORMALIOJO ŠVIETIMO ORGANIZAVIMO KRITERIJAI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5.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Skirstant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valandas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atsižvelgiama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į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šiuos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kriterijus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: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5.1.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Gimnazistų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poreikius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polinkius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5.2.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Pedagogų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gebėjimą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organizuoti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tokios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krypties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neformaliąją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veiklą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>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5.3.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Bendrojo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lavinimo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mokyklų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bendrųjų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planų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reikalavimus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5.4.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Gimnazijos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planą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skiriamų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valandų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skaičių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5.5.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Mokinio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krepšeliui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skirtas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lėšas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IV. NEFORMALIOJO ŠVIETIMO ORGANIZAVIMAS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6.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būrelio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sąraše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gimnazistų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turi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mažiau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negu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plane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patvirtintas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skaičius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7.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valandų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skaičių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gimnazijoje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apsprendžia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klasių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komplektų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skaičius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steigėjo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nustatytos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sąlygos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reikalavimai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turimos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krepšelio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lėšos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organizavimo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gimnazijoje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tradicijos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tikslingumas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gimnazistų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poreikiai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gimnazijos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galimybės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specialistai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patalpos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materialinė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bazė</w:t>
      </w:r>
      <w:proofErr w:type="spellEnd"/>
      <w:r>
        <w:rPr>
          <w:rFonts w:ascii="Arial" w:hAnsi="Arial" w:cs="Arial"/>
          <w:color w:val="303030"/>
          <w:sz w:val="18"/>
          <w:szCs w:val="18"/>
        </w:rPr>
        <w:t>).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8.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programų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poreikis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nustatomas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balandžio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03030"/>
          <w:sz w:val="18"/>
          <w:szCs w:val="18"/>
        </w:rPr>
        <w:t>mėn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.,</w:t>
      </w:r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organizuojant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gimnazistų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apklausą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9.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valandos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skiriamos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būrelių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vadovams</w:t>
      </w:r>
      <w:proofErr w:type="spellEnd"/>
      <w:proofErr w:type="gramStart"/>
      <w:r>
        <w:rPr>
          <w:rFonts w:ascii="Arial" w:hAnsi="Arial" w:cs="Arial"/>
          <w:color w:val="303030"/>
          <w:sz w:val="18"/>
          <w:szCs w:val="18"/>
        </w:rPr>
        <w:t xml:space="preserve"> 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pateikus</w:t>
      </w:r>
      <w:proofErr w:type="spellEnd"/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veiklos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programas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prašymus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gimnazijos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direktoriui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arba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direktoriaus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pavaduotojui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kuruojančiam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neformalųjį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iki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gegužės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30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dienos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2A9E2C"/>
            <w:sz w:val="18"/>
            <w:szCs w:val="18"/>
            <w:bdr w:val="none" w:sz="0" w:space="0" w:color="auto" w:frame="1"/>
          </w:rPr>
          <w:t xml:space="preserve">(1 </w:t>
        </w:r>
        <w:proofErr w:type="spellStart"/>
        <w:r>
          <w:rPr>
            <w:rStyle w:val="Hyperlink"/>
            <w:rFonts w:ascii="Arial" w:hAnsi="Arial" w:cs="Arial"/>
            <w:color w:val="2A9E2C"/>
            <w:sz w:val="18"/>
            <w:szCs w:val="18"/>
            <w:bdr w:val="none" w:sz="0" w:space="0" w:color="auto" w:frame="1"/>
          </w:rPr>
          <w:t>priedas</w:t>
        </w:r>
        <w:proofErr w:type="spellEnd"/>
        <w:r>
          <w:rPr>
            <w:rStyle w:val="Hyperlink"/>
            <w:rFonts w:ascii="Arial" w:hAnsi="Arial" w:cs="Arial"/>
            <w:color w:val="2A9E2C"/>
            <w:sz w:val="18"/>
            <w:szCs w:val="18"/>
            <w:bdr w:val="none" w:sz="0" w:space="0" w:color="auto" w:frame="1"/>
          </w:rPr>
          <w:t>)</w:t>
        </w:r>
      </w:hyperlink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10.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Baigiantis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mokslo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metams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gegužės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mėn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.)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mokytojai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planuojantys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būrelius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informuoja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gimnazistus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apie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planuojamus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užsiėmimus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11.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Jei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mokytojų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siūlomi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būreliai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tenkina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gimnazistų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poreikius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,</w:t>
      </w:r>
      <w:proofErr w:type="gramStart"/>
      <w:r>
        <w:rPr>
          <w:rFonts w:ascii="Arial" w:hAnsi="Arial" w:cs="Arial"/>
          <w:color w:val="303030"/>
          <w:sz w:val="18"/>
          <w:szCs w:val="18"/>
        </w:rPr>
        <w:t xml:space="preserve"> 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veiklos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programos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 </w:t>
      </w:r>
      <w:hyperlink r:id="rId6" w:tgtFrame="notSet" w:history="1">
        <w:r>
          <w:rPr>
            <w:rStyle w:val="Hyperlink"/>
            <w:rFonts w:ascii="Arial" w:hAnsi="Arial" w:cs="Arial"/>
            <w:color w:val="2A9E2C"/>
            <w:sz w:val="18"/>
            <w:szCs w:val="18"/>
            <w:bdr w:val="none" w:sz="0" w:space="0" w:color="auto" w:frame="1"/>
          </w:rPr>
          <w:t xml:space="preserve">(2 </w:t>
        </w:r>
        <w:proofErr w:type="spellStart"/>
        <w:r>
          <w:rPr>
            <w:rStyle w:val="Hyperlink"/>
            <w:rFonts w:ascii="Arial" w:hAnsi="Arial" w:cs="Arial"/>
            <w:color w:val="2A9E2C"/>
            <w:sz w:val="18"/>
            <w:szCs w:val="18"/>
            <w:bdr w:val="none" w:sz="0" w:space="0" w:color="auto" w:frame="1"/>
          </w:rPr>
          <w:t>priedas</w:t>
        </w:r>
        <w:proofErr w:type="spellEnd"/>
        <w:r>
          <w:rPr>
            <w:rStyle w:val="Hyperlink"/>
            <w:rFonts w:ascii="Arial" w:hAnsi="Arial" w:cs="Arial"/>
            <w:color w:val="2A9E2C"/>
            <w:sz w:val="18"/>
            <w:szCs w:val="18"/>
            <w:bdr w:val="none" w:sz="0" w:space="0" w:color="auto" w:frame="1"/>
          </w:rPr>
          <w:t>)</w:t>
        </w:r>
      </w:hyperlink>
      <w:r>
        <w:rPr>
          <w:rFonts w:ascii="Arial" w:hAnsi="Arial" w:cs="Arial"/>
          <w:color w:val="303030"/>
          <w:sz w:val="18"/>
          <w:szCs w:val="18"/>
        </w:rPr>
        <w:t> 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pristatomos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direktoriaus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pavaduotojai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iki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rugsėjo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10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dienos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12.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valandos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gali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skiriamos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: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12.1. </w:t>
      </w:r>
      <w:proofErr w:type="spellStart"/>
      <w:proofErr w:type="gramStart"/>
      <w:r>
        <w:rPr>
          <w:rFonts w:ascii="Arial" w:hAnsi="Arial" w:cs="Arial"/>
          <w:color w:val="303030"/>
          <w:sz w:val="18"/>
          <w:szCs w:val="18"/>
        </w:rPr>
        <w:t>kryptingam</w:t>
      </w:r>
      <w:proofErr w:type="spellEnd"/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meniniam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šokio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teatro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muzikos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dailės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kt.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kryptys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);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12.2. </w:t>
      </w:r>
      <w:proofErr w:type="spellStart"/>
      <w:proofErr w:type="gramStart"/>
      <w:r>
        <w:rPr>
          <w:rFonts w:ascii="Arial" w:hAnsi="Arial" w:cs="Arial"/>
          <w:color w:val="303030"/>
          <w:sz w:val="18"/>
          <w:szCs w:val="18"/>
        </w:rPr>
        <w:t>kūno</w:t>
      </w:r>
      <w:proofErr w:type="spellEnd"/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kultūrai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sportui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lastRenderedPageBreak/>
        <w:t>12.3</w:t>
      </w:r>
      <w:proofErr w:type="gramStart"/>
      <w:r>
        <w:rPr>
          <w:rFonts w:ascii="Arial" w:hAnsi="Arial" w:cs="Arial"/>
          <w:color w:val="303030"/>
          <w:sz w:val="18"/>
          <w:szCs w:val="18"/>
        </w:rPr>
        <w:t>.gimnazistų</w:t>
      </w:r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saviraiškai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laisvalaikiui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12.4</w:t>
      </w:r>
      <w:proofErr w:type="gramStart"/>
      <w:r>
        <w:rPr>
          <w:rFonts w:ascii="Arial" w:hAnsi="Arial" w:cs="Arial"/>
          <w:color w:val="303030"/>
          <w:sz w:val="18"/>
          <w:szCs w:val="18"/>
        </w:rPr>
        <w:t>.sveikos</w:t>
      </w:r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gyvensenos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propagavimui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12.5.žalingų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įpročių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kvaišalų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prevencijai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12.6</w:t>
      </w:r>
      <w:proofErr w:type="gramStart"/>
      <w:r>
        <w:rPr>
          <w:rFonts w:ascii="Arial" w:hAnsi="Arial" w:cs="Arial"/>
          <w:color w:val="303030"/>
          <w:sz w:val="18"/>
          <w:szCs w:val="18"/>
        </w:rPr>
        <w:t>.etninei</w:t>
      </w:r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kultūrai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pilietiniam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12.7</w:t>
      </w:r>
      <w:proofErr w:type="gramStart"/>
      <w:r>
        <w:rPr>
          <w:rFonts w:ascii="Arial" w:hAnsi="Arial" w:cs="Arial"/>
          <w:color w:val="303030"/>
          <w:sz w:val="18"/>
          <w:szCs w:val="18"/>
        </w:rPr>
        <w:t>.techninei</w:t>
      </w:r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kūrybai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12.8</w:t>
      </w:r>
      <w:proofErr w:type="gramStart"/>
      <w:r>
        <w:rPr>
          <w:rFonts w:ascii="Arial" w:hAnsi="Arial" w:cs="Arial"/>
          <w:color w:val="303030"/>
          <w:sz w:val="18"/>
          <w:szCs w:val="18"/>
        </w:rPr>
        <w:t>.socialiniams</w:t>
      </w:r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bei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komunikaciniams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gebėjimams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12.9</w:t>
      </w:r>
      <w:proofErr w:type="gramStart"/>
      <w:r>
        <w:rPr>
          <w:rFonts w:ascii="Arial" w:hAnsi="Arial" w:cs="Arial"/>
          <w:color w:val="303030"/>
          <w:sz w:val="18"/>
          <w:szCs w:val="18"/>
        </w:rPr>
        <w:t>.tikslinių</w:t>
      </w:r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mokslinių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gebėjimų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12.10</w:t>
      </w:r>
      <w:proofErr w:type="gramStart"/>
      <w:r>
        <w:rPr>
          <w:rFonts w:ascii="Arial" w:hAnsi="Arial" w:cs="Arial"/>
          <w:color w:val="303030"/>
          <w:sz w:val="18"/>
          <w:szCs w:val="18"/>
        </w:rPr>
        <w:t>.gamtosauginei</w:t>
      </w:r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veiklai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;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>12.11</w:t>
      </w:r>
      <w:proofErr w:type="gramStart"/>
      <w:r>
        <w:rPr>
          <w:rFonts w:ascii="Arial" w:hAnsi="Arial" w:cs="Arial"/>
          <w:color w:val="303030"/>
          <w:sz w:val="18"/>
          <w:szCs w:val="18"/>
        </w:rPr>
        <w:t>.kitai</w:t>
      </w:r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veiklai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13.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valandų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negalima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skirti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pasirenkamiesiems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dalykams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pagilinto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dalykų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mokymo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programoms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14.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valandos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skiriamos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programos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tvirtinamos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direktoriaus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įsakymu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15.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būrelio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vadovai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užsiėmimų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grafiką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sudaro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atsižvelgdami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į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gimnazistų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pageidavimus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pavėžėjimo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galimybes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16.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Neformalusis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fiksuojamas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el.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dienyne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laikantis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visų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dienyno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pildymo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reikalavimų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17.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Apie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savo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darbo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laiką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vietą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būrelio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vadovas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informuoja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direktoriaus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pavaduotoją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gimnazistus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iki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rugsėjo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10 d.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18.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būrelių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veiklos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tvarkaraštį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sudaro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direktoriaus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pavaduotojas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19.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užsiėmimų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tvarkaraštis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tvirtinamas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gimnazijos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direktoriaus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įsakymu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20.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būrelio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vadovas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užtikrina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gimnazistų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saugumą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užsiėmimų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metu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Style w:val="Strong"/>
          <w:rFonts w:ascii="Arial" w:hAnsi="Arial" w:cs="Arial"/>
          <w:color w:val="303030"/>
          <w:sz w:val="18"/>
          <w:szCs w:val="18"/>
          <w:bdr w:val="none" w:sz="0" w:space="0" w:color="auto" w:frame="1"/>
        </w:rPr>
        <w:t>V. ATSISKAITYMAS UŽ NEFORMALIOJO ŠVIETIMO BŪRELIO VEIKLĄ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21.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Būrelių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vadovai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pasiekimus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parodo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organizuodami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parodas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koncertus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dalyvaudami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įvairiuose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gimnazijos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ir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03030"/>
          <w:sz w:val="18"/>
          <w:szCs w:val="18"/>
        </w:rPr>
        <w:t>bendruomenės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 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renginiuose</w:t>
      </w:r>
      <w:proofErr w:type="spellEnd"/>
      <w:proofErr w:type="gram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šventėse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varžybose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konkursuose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22.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Už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aktyvią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veiklą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gimnazistai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skatinami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mokyklos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padėkos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raštais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atminimo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dovanėlėmis</w:t>
      </w:r>
      <w:proofErr w:type="spellEnd"/>
      <w:r>
        <w:rPr>
          <w:rFonts w:ascii="Arial" w:hAnsi="Arial" w:cs="Arial"/>
          <w:color w:val="303030"/>
          <w:sz w:val="18"/>
          <w:szCs w:val="18"/>
        </w:rPr>
        <w:t>.</w:t>
      </w:r>
    </w:p>
    <w:p w:rsidR="00FC26EC" w:rsidRDefault="00FC26EC" w:rsidP="00FC26EC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18"/>
          <w:szCs w:val="18"/>
        </w:rPr>
        <w:t xml:space="preserve">23.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Mokslo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metų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pabaigoje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iki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gegužės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30 d.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neformaliojo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švietimo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būrelio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vadovas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direktoriaus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pavaduotojai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ugdymui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pateikia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ataskaitą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apie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būrelio</w:t>
      </w:r>
      <w:proofErr w:type="spellEnd"/>
      <w:r>
        <w:rPr>
          <w:rFonts w:ascii="Arial" w:hAnsi="Arial" w:cs="Arial"/>
          <w:color w:val="3030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03030"/>
          <w:sz w:val="18"/>
          <w:szCs w:val="18"/>
        </w:rPr>
        <w:t>veiklą</w:t>
      </w:r>
      <w:proofErr w:type="spellEnd"/>
      <w:r>
        <w:rPr>
          <w:rFonts w:ascii="Arial" w:hAnsi="Arial" w:cs="Arial"/>
          <w:color w:val="303030"/>
          <w:sz w:val="18"/>
          <w:szCs w:val="18"/>
        </w:rPr>
        <w:t> </w:t>
      </w:r>
      <w:hyperlink r:id="rId7" w:tgtFrame="notSet" w:history="1">
        <w:r>
          <w:rPr>
            <w:rStyle w:val="Hyperlink"/>
            <w:rFonts w:ascii="Arial" w:hAnsi="Arial" w:cs="Arial"/>
            <w:color w:val="2A9E2C"/>
            <w:sz w:val="18"/>
            <w:szCs w:val="18"/>
            <w:bdr w:val="none" w:sz="0" w:space="0" w:color="auto" w:frame="1"/>
          </w:rPr>
          <w:t xml:space="preserve">(3 </w:t>
        </w:r>
        <w:proofErr w:type="spellStart"/>
        <w:r>
          <w:rPr>
            <w:rStyle w:val="Hyperlink"/>
            <w:rFonts w:ascii="Arial" w:hAnsi="Arial" w:cs="Arial"/>
            <w:color w:val="2A9E2C"/>
            <w:sz w:val="18"/>
            <w:szCs w:val="18"/>
            <w:bdr w:val="none" w:sz="0" w:space="0" w:color="auto" w:frame="1"/>
          </w:rPr>
          <w:t>priedas</w:t>
        </w:r>
        <w:proofErr w:type="spellEnd"/>
        <w:r>
          <w:rPr>
            <w:rStyle w:val="Hyperlink"/>
            <w:rFonts w:ascii="Arial" w:hAnsi="Arial" w:cs="Arial"/>
            <w:color w:val="2A9E2C"/>
            <w:sz w:val="18"/>
            <w:szCs w:val="18"/>
            <w:bdr w:val="none" w:sz="0" w:space="0" w:color="auto" w:frame="1"/>
          </w:rPr>
          <w:t>)</w:t>
        </w:r>
      </w:hyperlink>
      <w:r>
        <w:rPr>
          <w:rFonts w:ascii="Arial" w:hAnsi="Arial" w:cs="Arial"/>
          <w:color w:val="303030"/>
          <w:sz w:val="18"/>
          <w:szCs w:val="18"/>
        </w:rPr>
        <w:t>.</w:t>
      </w:r>
    </w:p>
    <w:p w:rsidR="007C1AEB" w:rsidRDefault="00FC26EC"/>
    <w:sectPr w:rsidR="007C1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EC"/>
    <w:rsid w:val="00054495"/>
    <w:rsid w:val="00410119"/>
    <w:rsid w:val="00FC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26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2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26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2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aseiniugimnazija.lt/files/download/9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aseiniugimnazija.lt/files/download/910" TargetMode="External"/><Relationship Id="rId5" Type="http://schemas.openxmlformats.org/officeDocument/2006/relationships/hyperlink" Target="http://raseiniugimnazija.lt/files/download/9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4726</Characters>
  <Application>Microsoft Office Word</Application>
  <DocSecurity>0</DocSecurity>
  <Lines>39</Lines>
  <Paragraphs>11</Paragraphs>
  <ScaleCrop>false</ScaleCrop>
  <Company>N/A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dev1</dc:creator>
  <cp:lastModifiedBy>dev1</cp:lastModifiedBy>
  <cp:revision>1</cp:revision>
  <dcterms:created xsi:type="dcterms:W3CDTF">2018-09-11T13:17:00Z</dcterms:created>
  <dcterms:modified xsi:type="dcterms:W3CDTF">2018-09-11T13:18:00Z</dcterms:modified>
</cp:coreProperties>
</file>